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8AE" w:rsidRPr="00AD4952" w:rsidRDefault="009228AE" w:rsidP="00706A2E">
      <w:pPr>
        <w:spacing w:line="276" w:lineRule="auto"/>
        <w:jc w:val="center"/>
        <w:rPr>
          <w:b/>
          <w:snapToGrid w:val="0"/>
        </w:rPr>
      </w:pPr>
    </w:p>
    <w:p w:rsidR="009228AE" w:rsidRPr="00AD4952" w:rsidRDefault="009228AE" w:rsidP="00706A2E">
      <w:pPr>
        <w:spacing w:line="276" w:lineRule="auto"/>
        <w:jc w:val="center"/>
        <w:rPr>
          <w:b/>
          <w:snapToGrid w:val="0"/>
        </w:rPr>
      </w:pPr>
    </w:p>
    <w:p w:rsidR="00B5655B" w:rsidRPr="00AD4952" w:rsidRDefault="000947EA" w:rsidP="00706A2E">
      <w:pPr>
        <w:spacing w:line="276" w:lineRule="auto"/>
        <w:jc w:val="center"/>
        <w:rPr>
          <w:b/>
          <w:snapToGrid w:val="0"/>
        </w:rPr>
      </w:pPr>
      <w:r w:rsidRPr="00AD4952">
        <w:rPr>
          <w:noProof/>
        </w:rPr>
        <w:drawing>
          <wp:inline distT="0" distB="0" distL="0" distR="0">
            <wp:extent cx="776605" cy="854075"/>
            <wp:effectExtent l="0" t="0" r="4445" b="3175"/>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 cy="854075"/>
                    </a:xfrm>
                    <a:prstGeom prst="rect">
                      <a:avLst/>
                    </a:prstGeom>
                    <a:noFill/>
                    <a:ln>
                      <a:noFill/>
                    </a:ln>
                  </pic:spPr>
                </pic:pic>
              </a:graphicData>
            </a:graphic>
          </wp:inline>
        </w:drawing>
      </w:r>
    </w:p>
    <w:p w:rsidR="000947EA" w:rsidRPr="00AD4952" w:rsidRDefault="000947EA" w:rsidP="00706A2E">
      <w:pPr>
        <w:autoSpaceDE w:val="0"/>
        <w:autoSpaceDN w:val="0"/>
        <w:adjustRightInd w:val="0"/>
        <w:spacing w:line="276" w:lineRule="auto"/>
        <w:jc w:val="center"/>
        <w:rPr>
          <w:b/>
        </w:rPr>
      </w:pPr>
      <w:r w:rsidRPr="00AD4952">
        <w:rPr>
          <w:b/>
        </w:rPr>
        <w:t xml:space="preserve">TRIBUNALE DI </w:t>
      </w:r>
      <w:r w:rsidR="00AC32EB" w:rsidRPr="00AD4952">
        <w:rPr>
          <w:b/>
        </w:rPr>
        <w:t>CASTROVILLARI</w:t>
      </w:r>
    </w:p>
    <w:p w:rsidR="000947EA" w:rsidRPr="00AD4952" w:rsidRDefault="009228AE" w:rsidP="00706A2E">
      <w:pPr>
        <w:autoSpaceDE w:val="0"/>
        <w:autoSpaceDN w:val="0"/>
        <w:adjustRightInd w:val="0"/>
        <w:spacing w:line="276" w:lineRule="auto"/>
        <w:jc w:val="center"/>
        <w:rPr>
          <w:b/>
        </w:rPr>
      </w:pPr>
      <w:r w:rsidRPr="00AD4952">
        <w:rPr>
          <w:b/>
        </w:rPr>
        <w:t>S</w:t>
      </w:r>
      <w:r w:rsidR="000947EA" w:rsidRPr="00AD4952">
        <w:rPr>
          <w:b/>
        </w:rPr>
        <w:t>ezione</w:t>
      </w:r>
      <w:r w:rsidR="005E4E76">
        <w:rPr>
          <w:b/>
        </w:rPr>
        <w:t xml:space="preserve"> Civile - Ufficio</w:t>
      </w:r>
      <w:r w:rsidR="000947EA" w:rsidRPr="00AD4952">
        <w:rPr>
          <w:b/>
        </w:rPr>
        <w:t xml:space="preserve"> </w:t>
      </w:r>
      <w:r w:rsidR="005E4E76">
        <w:rPr>
          <w:b/>
        </w:rPr>
        <w:t>Fallimenti</w:t>
      </w:r>
    </w:p>
    <w:p w:rsidR="00F92C9F" w:rsidRPr="00AD4952" w:rsidRDefault="00E302E7" w:rsidP="00706A2E">
      <w:pPr>
        <w:spacing w:line="276" w:lineRule="auto"/>
        <w:jc w:val="both"/>
      </w:pPr>
      <w:r w:rsidRPr="00AD4952">
        <w:t xml:space="preserve">I Giudici </w:t>
      </w:r>
      <w:r w:rsidR="008844F9">
        <w:t>Delegati</w:t>
      </w:r>
      <w:r w:rsidR="00244EFD" w:rsidRPr="00AD4952">
        <w:t>,</w:t>
      </w:r>
      <w:r w:rsidR="005E4E76">
        <w:t xml:space="preserve"> dott. Alessandro e dott.ssa Giuliana Gaudiano</w:t>
      </w:r>
    </w:p>
    <w:p w:rsidR="00AC32EB" w:rsidRPr="00AD4952" w:rsidRDefault="00AC32EB" w:rsidP="00706A2E">
      <w:pPr>
        <w:spacing w:line="276" w:lineRule="auto"/>
        <w:jc w:val="both"/>
      </w:pPr>
      <w:r w:rsidRPr="00AD4952">
        <w:t>c</w:t>
      </w:r>
      <w:r w:rsidR="00111F09" w:rsidRPr="00AD4952">
        <w:t>onsiderato che ai sensi dell’art. 1 L.</w:t>
      </w:r>
      <w:r w:rsidRPr="00AD4952">
        <w:t xml:space="preserve"> 30 dicembre 2020 n. </w:t>
      </w:r>
      <w:r w:rsidR="00111F09" w:rsidRPr="00AD4952">
        <w:t>178</w:t>
      </w:r>
      <w:r w:rsidRPr="00AD4952">
        <w:t>:</w:t>
      </w:r>
    </w:p>
    <w:p w:rsidR="00CF4A4C" w:rsidRPr="00AD4952" w:rsidRDefault="00AC32EB" w:rsidP="00706A2E">
      <w:pPr>
        <w:spacing w:line="276" w:lineRule="auto"/>
        <w:jc w:val="both"/>
        <w:rPr>
          <w:i/>
        </w:rPr>
      </w:pPr>
      <w:r w:rsidRPr="00AD4952">
        <w:rPr>
          <w:b/>
        </w:rPr>
        <w:t>co. 376</w:t>
      </w:r>
      <w:r w:rsidR="00CF4A4C" w:rsidRPr="00AD4952">
        <w:rPr>
          <w:i/>
        </w:rPr>
        <w:t>“</w:t>
      </w:r>
      <w:r w:rsidRPr="00AD4952">
        <w:rPr>
          <w:i/>
        </w:rPr>
        <w:t>L</w:t>
      </w:r>
      <w:r w:rsidR="00CF4A4C" w:rsidRPr="00AD4952">
        <w:rPr>
          <w:i/>
        </w:rPr>
        <w:t xml:space="preserve">e procedure esecutive aventi a oggetto </w:t>
      </w:r>
      <w:r w:rsidR="00CF4A4C" w:rsidRPr="00AD4952">
        <w:rPr>
          <w:i/>
          <w:u w:val="single"/>
        </w:rPr>
        <w:t xml:space="preserve">immobili realizzati in regime di </w:t>
      </w:r>
      <w:r w:rsidR="005E4E76">
        <w:rPr>
          <w:i/>
          <w:u w:val="single"/>
        </w:rPr>
        <w:t xml:space="preserve">edilizia residenziale pubblica </w:t>
      </w:r>
      <w:r w:rsidR="00CF4A4C" w:rsidRPr="00AD4952">
        <w:rPr>
          <w:i/>
          <w:u w:val="single"/>
        </w:rPr>
        <w:t xml:space="preserve">convenzionata e agevolata che sono stati finanziati in tutto o in parte con  risorse  pubbliche sono </w:t>
      </w:r>
      <w:r w:rsidR="00CF4A4C" w:rsidRPr="00D879D2">
        <w:rPr>
          <w:b/>
          <w:i/>
          <w:u w:val="single"/>
        </w:rPr>
        <w:t>nulle</w:t>
      </w:r>
      <w:r w:rsidR="00CF4A4C" w:rsidRPr="00AD4952">
        <w:rPr>
          <w:i/>
          <w:u w:val="single"/>
        </w:rPr>
        <w:t xml:space="preserve"> se</w:t>
      </w:r>
      <w:r w:rsidR="00CF4A4C" w:rsidRPr="00AD4952">
        <w:rPr>
          <w:i/>
        </w:rPr>
        <w:t xml:space="preserve"> il creditore procedente non ne ha dato  previa  formale comunicazione, tramite posta  elettronica  certificata, agli uffici competenti del comune dove sono ubicati gli immobili e all'ente erogatore del finanziamento territorialmente competente. La nullità è rilevabile d'ufficio, su iniziativa delle parti, degli organi vigilanti avvisati ovvero dell'inquilino detentore, </w:t>
      </w:r>
      <w:r w:rsidR="00E379DD" w:rsidRPr="00AD4952">
        <w:rPr>
          <w:i/>
        </w:rPr>
        <w:t xml:space="preserve">prenotatario </w:t>
      </w:r>
      <w:r w:rsidR="00CF4A4C" w:rsidRPr="00AD4952">
        <w:rPr>
          <w:i/>
        </w:rPr>
        <w:t xml:space="preserve">o socio della società soggetta alla procedura esecutiva. </w:t>
      </w:r>
    </w:p>
    <w:p w:rsidR="00CF4A4C" w:rsidRPr="00AD4952" w:rsidRDefault="00AC32EB" w:rsidP="00706A2E">
      <w:pPr>
        <w:spacing w:line="276" w:lineRule="auto"/>
        <w:jc w:val="both"/>
        <w:rPr>
          <w:i/>
        </w:rPr>
      </w:pPr>
      <w:r w:rsidRPr="00AD4952">
        <w:rPr>
          <w:b/>
        </w:rPr>
        <w:t>co. 377</w:t>
      </w:r>
      <w:r w:rsidRPr="00AD4952">
        <w:rPr>
          <w:i/>
        </w:rPr>
        <w:t xml:space="preserve"> </w:t>
      </w:r>
      <w:r w:rsidR="00CF4A4C" w:rsidRPr="00AD4952">
        <w:rPr>
          <w:i/>
        </w:rPr>
        <w:t xml:space="preserve">Nel caso in cui l'esecuzione sia già iniziata, il giudice dell'esecuzione procede alla </w:t>
      </w:r>
      <w:r w:rsidR="00CF4A4C" w:rsidRPr="00D879D2">
        <w:rPr>
          <w:b/>
          <w:i/>
        </w:rPr>
        <w:t>sospensione</w:t>
      </w:r>
      <w:r w:rsidR="00CF4A4C" w:rsidRPr="00AD4952">
        <w:rPr>
          <w:i/>
        </w:rPr>
        <w:t xml:space="preserve"> del procedimento esecutivo nelle modalità di cui al comma 376 per consentire ai soggetti di cui al citato comma 376 di intervenire nella relativa procedura al fine di tutelare la finalità sociale degli immobili e sospendere la vendita degli stessi. </w:t>
      </w:r>
    </w:p>
    <w:p w:rsidR="00111F09" w:rsidRDefault="00AC32EB" w:rsidP="00706A2E">
      <w:pPr>
        <w:spacing w:line="276" w:lineRule="auto"/>
        <w:jc w:val="both"/>
        <w:rPr>
          <w:i/>
        </w:rPr>
      </w:pPr>
      <w:r w:rsidRPr="00AD4952">
        <w:rPr>
          <w:b/>
        </w:rPr>
        <w:t xml:space="preserve">co. 378 </w:t>
      </w:r>
      <w:r w:rsidR="00CF4A4C" w:rsidRPr="00AD4952">
        <w:rPr>
          <w:i/>
        </w:rPr>
        <w:t>Se la procedura ha avuto inizio su istanza dell'istituto di credito presso il quale è stato acceso il mutuo fondiario, il giudice verifica d'ufficio la rispondenza del contratto di mutuo stipulato ai criteri di cui all'articolo 44 della legge 5 agosto 1978, n. 457, e l'inserimento dell</w:t>
      </w:r>
      <w:r w:rsidR="00E379DD" w:rsidRPr="00AD4952">
        <w:rPr>
          <w:i/>
        </w:rPr>
        <w:t xml:space="preserve">'ente creditore </w:t>
      </w:r>
      <w:r w:rsidR="00E3456C" w:rsidRPr="00AD4952">
        <w:rPr>
          <w:i/>
        </w:rPr>
        <w:t xml:space="preserve">nell'elenco </w:t>
      </w:r>
      <w:r w:rsidR="00CF4A4C" w:rsidRPr="00AD4952">
        <w:rPr>
          <w:i/>
        </w:rPr>
        <w:t xml:space="preserve">delle banche convenzionate presso il Ministero delle infrastrutture e dei trasporti. La mancanza di uno solo dei due requisiti citati determina l'immediata improcedibilità della procedura esecutiva </w:t>
      </w:r>
      <w:r w:rsidR="00CF4A4C" w:rsidRPr="008844F9">
        <w:rPr>
          <w:b/>
          <w:i/>
        </w:rPr>
        <w:t>ovvero della procedura concorsuale avviata</w:t>
      </w:r>
      <w:r w:rsidR="00CF4A4C" w:rsidRPr="00AD4952">
        <w:rPr>
          <w:i/>
        </w:rPr>
        <w:t>”;</w:t>
      </w:r>
    </w:p>
    <w:p w:rsidR="008844F9" w:rsidRDefault="008844F9" w:rsidP="00706A2E">
      <w:pPr>
        <w:spacing w:line="276" w:lineRule="auto"/>
        <w:jc w:val="both"/>
        <w:rPr>
          <w:i/>
        </w:rPr>
      </w:pPr>
      <w:r w:rsidRPr="008844F9">
        <w:rPr>
          <w:b/>
          <w:i/>
        </w:rPr>
        <w:t>co. 37</w:t>
      </w:r>
      <w:r w:rsidR="005E4E76">
        <w:rPr>
          <w:b/>
          <w:i/>
        </w:rPr>
        <w:t xml:space="preserve">9 </w:t>
      </w:r>
      <w:r w:rsidRPr="008844F9">
        <w:rPr>
          <w:i/>
        </w:rPr>
        <w:t>In relazione a immobili di cui ai commi da 376 a 378, qualora vi siano pendenti procedure concorsuali, il giudice competente sospende il relativo procedimento al fine di procedere alle verifiche definite dai medesimi commi da 376 a 378.</w:t>
      </w:r>
    </w:p>
    <w:p w:rsidR="007154A1" w:rsidRPr="00AD4952" w:rsidRDefault="007154A1" w:rsidP="00706A2E">
      <w:pPr>
        <w:spacing w:line="276" w:lineRule="auto"/>
        <w:jc w:val="center"/>
      </w:pPr>
      <w:r w:rsidRPr="00AD4952">
        <w:t>ritenuto</w:t>
      </w:r>
    </w:p>
    <w:p w:rsidR="007154A1" w:rsidRPr="00AD4952" w:rsidRDefault="007154A1" w:rsidP="00706A2E">
      <w:pPr>
        <w:spacing w:line="276" w:lineRule="auto"/>
        <w:jc w:val="both"/>
      </w:pPr>
      <w:r w:rsidRPr="00AD4952">
        <w:t>che si rende necessario fornire indicazioni organizzative</w:t>
      </w:r>
      <w:r w:rsidR="008844F9">
        <w:t xml:space="preserve"> ai Curatori</w:t>
      </w:r>
      <w:r w:rsidRPr="00AD4952">
        <w:t>,</w:t>
      </w:r>
      <w:r w:rsidR="008844F9">
        <w:t xml:space="preserve"> ai Commissari Giudiziali ed ai Gestori della Crisi</w:t>
      </w:r>
      <w:r w:rsidRPr="00AD4952">
        <w:t xml:space="preserve"> in ordine alle modalità con le quali far emergere </w:t>
      </w:r>
      <w:r w:rsidR="008844F9">
        <w:t>nelle procedure concorsuali</w:t>
      </w:r>
      <w:r w:rsidRPr="00AD4952">
        <w:t xml:space="preserve"> le circostanze sott</w:t>
      </w:r>
      <w:r w:rsidR="005E4E76">
        <w:t>ese alle norme sopra riportate e</w:t>
      </w:r>
      <w:r w:rsidRPr="00AD4952">
        <w:t>d evitare</w:t>
      </w:r>
      <w:r w:rsidR="005E4E76">
        <w:t xml:space="preserve"> così</w:t>
      </w:r>
      <w:r w:rsidRPr="00AD4952">
        <w:t xml:space="preserve"> situazioni di invalidità degli atti posti in essere; </w:t>
      </w:r>
      <w:r>
        <w:t xml:space="preserve"> </w:t>
      </w:r>
    </w:p>
    <w:p w:rsidR="00AD4952" w:rsidRDefault="00AD4952" w:rsidP="00706A2E">
      <w:pPr>
        <w:spacing w:line="276" w:lineRule="auto"/>
        <w:jc w:val="center"/>
      </w:pPr>
      <w:r w:rsidRPr="00AD4952">
        <w:t>ritenuto</w:t>
      </w:r>
    </w:p>
    <w:p w:rsidR="00ED397B" w:rsidRDefault="00ED397B" w:rsidP="00706A2E">
      <w:pPr>
        <w:spacing w:line="276" w:lineRule="auto"/>
        <w:jc w:val="both"/>
      </w:pPr>
      <w:r>
        <w:t xml:space="preserve">che, stante il tenore delle norme, occorre quindi lo svolgimento di un’attività di </w:t>
      </w:r>
      <w:r w:rsidRPr="00ED397B">
        <w:rPr>
          <w:b/>
        </w:rPr>
        <w:t>tempestiva  emersione</w:t>
      </w:r>
      <w:r>
        <w:t xml:space="preserve"> delle singole fattispecie, da svolgersi nell’ambito </w:t>
      </w:r>
      <w:r w:rsidR="008844F9">
        <w:t>delle singole procedure concorsuali</w:t>
      </w:r>
      <w:r>
        <w:t xml:space="preserve">, attraverso l’attento esame dei relativi atti di provenienza del bene e l’acquisizione di ogni  elemento utile nella fase di avvio della procedura, attraverso un contatto con gli enti (che già peraltro deve essere di regola attuato a fini delle verifiche urbanistica ed  edilizia): </w:t>
      </w:r>
    </w:p>
    <w:p w:rsidR="00ED397B" w:rsidRDefault="00ED397B" w:rsidP="00706A2E">
      <w:pPr>
        <w:pStyle w:val="Paragrafoelenco"/>
        <w:numPr>
          <w:ilvl w:val="0"/>
          <w:numId w:val="19"/>
        </w:numPr>
        <w:spacing w:line="276" w:lineRule="auto"/>
        <w:jc w:val="both"/>
      </w:pPr>
      <w:r>
        <w:t>con i comuni, in particolare, che sono i migliori conoscitori del patrimonio edilizio compreso nel proprio territorio;</w:t>
      </w:r>
    </w:p>
    <w:p w:rsidR="005E4E76" w:rsidRDefault="00ED397B" w:rsidP="005E4E76">
      <w:pPr>
        <w:pStyle w:val="Paragrafoelenco"/>
        <w:numPr>
          <w:ilvl w:val="0"/>
          <w:numId w:val="19"/>
        </w:numPr>
        <w:spacing w:line="276" w:lineRule="auto"/>
        <w:jc w:val="both"/>
      </w:pPr>
      <w:r>
        <w:t>ovvero ove occorra con la regione, le province e gli ex IACP,  per la loro competenza nella predisposizione-gestione e comunque conoscenza dei programmi di edilizia residenziale pubblica</w:t>
      </w:r>
      <w:r w:rsidR="005E4E76">
        <w:t>;</w:t>
      </w:r>
    </w:p>
    <w:p w:rsidR="005E4E76" w:rsidRDefault="00ED397B" w:rsidP="005E4E76">
      <w:pPr>
        <w:spacing w:line="276" w:lineRule="auto"/>
        <w:jc w:val="both"/>
      </w:pPr>
      <w:r>
        <w:lastRenderedPageBreak/>
        <w:t>che o</w:t>
      </w:r>
      <w:r w:rsidR="008844F9">
        <w:t>ccorre in definitiva</w:t>
      </w:r>
      <w:r>
        <w:t xml:space="preserve"> un’azione coordinata dei </w:t>
      </w:r>
      <w:r w:rsidR="008844F9">
        <w:t>Curatori</w:t>
      </w:r>
      <w:r w:rsidR="008844F9" w:rsidRPr="00AD4952">
        <w:t>,</w:t>
      </w:r>
      <w:r w:rsidR="008844F9">
        <w:t xml:space="preserve"> dei Commissari Giudiziali, dei Gestori della Crisi e dei </w:t>
      </w:r>
      <w:r w:rsidR="005E4E76">
        <w:t>periti</w:t>
      </w:r>
      <w:r w:rsidR="008844F9">
        <w:t xml:space="preserve"> nominati</w:t>
      </w:r>
      <w:r>
        <w:t xml:space="preserve"> per una analisi iniziale, ancora più approfondita, dei presupposti per poter procedere validamente alla ve</w:t>
      </w:r>
      <w:r w:rsidR="005E4E76">
        <w:t>ndita degli immobili pignorati;</w:t>
      </w:r>
    </w:p>
    <w:p w:rsidR="007D1D33" w:rsidRPr="005E4E76" w:rsidRDefault="005D6317" w:rsidP="005E4E76">
      <w:pPr>
        <w:spacing w:line="276" w:lineRule="auto"/>
        <w:jc w:val="center"/>
      </w:pPr>
      <w:r w:rsidRPr="00AD4952">
        <w:rPr>
          <w:b/>
        </w:rPr>
        <w:t>P.Q.M.</w:t>
      </w:r>
    </w:p>
    <w:p w:rsidR="007154A1" w:rsidRDefault="005D6317" w:rsidP="00706A2E">
      <w:pPr>
        <w:spacing w:line="276" w:lineRule="auto"/>
        <w:jc w:val="both"/>
      </w:pPr>
      <w:r w:rsidRPr="00AD4952">
        <w:t>Si</w:t>
      </w:r>
      <w:r w:rsidR="004659B4">
        <w:t xml:space="preserve"> invitano </w:t>
      </w:r>
      <w:r w:rsidR="008844F9">
        <w:t>i</w:t>
      </w:r>
      <w:r w:rsidR="007D1D33" w:rsidRPr="00AD4952">
        <w:t xml:space="preserve"> </w:t>
      </w:r>
      <w:r w:rsidR="008844F9">
        <w:t>Curatori</w:t>
      </w:r>
      <w:r w:rsidR="008844F9" w:rsidRPr="00AD4952">
        <w:t>,</w:t>
      </w:r>
      <w:r w:rsidR="008844F9">
        <w:t xml:space="preserve"> i Commissari Giudiziali ed e Gestori della Crisi</w:t>
      </w:r>
      <w:r w:rsidR="008844F9" w:rsidRPr="00AD4952">
        <w:t xml:space="preserve"> </w:t>
      </w:r>
      <w:r w:rsidR="00AC32EB" w:rsidRPr="00AD4952">
        <w:t xml:space="preserve">a verificare </w:t>
      </w:r>
      <w:r w:rsidR="00AC32EB" w:rsidRPr="002B2207">
        <w:rPr>
          <w:b/>
        </w:rPr>
        <w:t>con urgenza</w:t>
      </w:r>
      <w:r w:rsidR="002B2207">
        <w:t xml:space="preserve"> (avvalendosi dell’ausilio </w:t>
      </w:r>
      <w:r w:rsidR="005E4E76">
        <w:t>dei periti</w:t>
      </w:r>
      <w:r w:rsidR="002B2207">
        <w:t xml:space="preserve"> e sentiti altresì i creditori eventualmente interessati, nonché gli enti preposti)</w:t>
      </w:r>
      <w:r w:rsidR="00AC32EB" w:rsidRPr="00AD4952">
        <w:t>, sulla base degli atti presenti nel fascicolo, relativamente alle procedure assegnate,</w:t>
      </w:r>
      <w:r w:rsidR="007B6924">
        <w:t xml:space="preserve"> se gli immobili </w:t>
      </w:r>
      <w:r w:rsidR="00AC32EB" w:rsidRPr="00AD4952">
        <w:rPr>
          <w:b/>
        </w:rPr>
        <w:t>risultino realizzati in regime di edilizia residenziale pubblica convenzionata e agevolata e siano stati in tutto o in parte realizzati con risorse pubbliche</w:t>
      </w:r>
      <w:r w:rsidR="007154A1">
        <w:t xml:space="preserve">. Nello specifico </w:t>
      </w:r>
    </w:p>
    <w:p w:rsidR="00CF4A4C" w:rsidRPr="00AD4952" w:rsidRDefault="00111F09" w:rsidP="00706A2E">
      <w:pPr>
        <w:spacing w:line="276" w:lineRule="auto"/>
        <w:jc w:val="both"/>
      </w:pPr>
      <w:r w:rsidRPr="00AD4952">
        <w:t xml:space="preserve">- </w:t>
      </w:r>
      <w:r w:rsidRPr="00706A2E">
        <w:rPr>
          <w:b/>
          <w:u w:val="single"/>
        </w:rPr>
        <w:t>ove in tali procedure sia già stata disposta la vendita</w:t>
      </w:r>
      <w:r w:rsidRPr="00AD4952">
        <w:rPr>
          <w:u w:val="single"/>
        </w:rPr>
        <w:t>,</w:t>
      </w:r>
      <w:r w:rsidRPr="00AD4952">
        <w:t xml:space="preserve"> </w:t>
      </w:r>
      <w:r w:rsidR="008844F9">
        <w:t>i</w:t>
      </w:r>
      <w:r w:rsidR="008844F9" w:rsidRPr="00AD4952">
        <w:t xml:space="preserve"> </w:t>
      </w:r>
      <w:r w:rsidR="008844F9">
        <w:t xml:space="preserve">Curatori, i Commissari Giudiziali ed </w:t>
      </w:r>
      <w:r w:rsidR="004659B4">
        <w:t>i</w:t>
      </w:r>
      <w:r w:rsidR="008844F9">
        <w:t xml:space="preserve"> Gestori della Crisi</w:t>
      </w:r>
      <w:r w:rsidR="008844F9" w:rsidRPr="00AD4952">
        <w:t xml:space="preserve"> </w:t>
      </w:r>
      <w:r w:rsidRPr="00706A2E">
        <w:rPr>
          <w:b/>
        </w:rPr>
        <w:t>sospender</w:t>
      </w:r>
      <w:r w:rsidR="008844F9">
        <w:rPr>
          <w:b/>
        </w:rPr>
        <w:t>anno</w:t>
      </w:r>
      <w:r w:rsidRPr="00AD4952">
        <w:t xml:space="preserve"> le relative operazioni mantenendo salvi gli ademp</w:t>
      </w:r>
      <w:r w:rsidR="004659B4">
        <w:t>imenti già compiuti e depositeranno</w:t>
      </w:r>
      <w:r w:rsidRPr="00AD4952">
        <w:t xml:space="preserve"> </w:t>
      </w:r>
      <w:r w:rsidR="008844F9">
        <w:t xml:space="preserve">apposita istanza </w:t>
      </w:r>
      <w:r w:rsidR="00705788" w:rsidRPr="00AD4952">
        <w:t>mediante atto da denominarsi “</w:t>
      </w:r>
      <w:r w:rsidR="008844F9">
        <w:rPr>
          <w:i/>
        </w:rPr>
        <w:t>istanza</w:t>
      </w:r>
      <w:r w:rsidR="00705788" w:rsidRPr="00AD4952">
        <w:rPr>
          <w:i/>
        </w:rPr>
        <w:t xml:space="preserve"> per la valutazione dei presupposti di applicabilità dell’art. 1 commi 376, 377 e 378 L. 178/2020</w:t>
      </w:r>
      <w:r w:rsidR="00705788" w:rsidRPr="00AD4952">
        <w:t xml:space="preserve">”, </w:t>
      </w:r>
    </w:p>
    <w:p w:rsidR="007B6924" w:rsidRDefault="00CF4A4C" w:rsidP="00706A2E">
      <w:pPr>
        <w:spacing w:line="276" w:lineRule="auto"/>
        <w:jc w:val="both"/>
      </w:pPr>
      <w:r w:rsidRPr="00706A2E">
        <w:rPr>
          <w:b/>
        </w:rPr>
        <w:t xml:space="preserve">- </w:t>
      </w:r>
      <w:r w:rsidRPr="00706A2E">
        <w:rPr>
          <w:b/>
          <w:u w:val="single"/>
        </w:rPr>
        <w:t>ove non sia ancora stata disposta la vendita</w:t>
      </w:r>
      <w:r w:rsidRPr="00AD4952">
        <w:t xml:space="preserve">, </w:t>
      </w:r>
      <w:r w:rsidR="008844F9">
        <w:t>i</w:t>
      </w:r>
      <w:r w:rsidR="008844F9" w:rsidRPr="00AD4952">
        <w:t xml:space="preserve"> </w:t>
      </w:r>
      <w:r w:rsidR="008844F9">
        <w:t xml:space="preserve">Curatori, i Commissari Giudiziali ed </w:t>
      </w:r>
      <w:r w:rsidR="004659B4">
        <w:t>i</w:t>
      </w:r>
      <w:r w:rsidR="008844F9">
        <w:t xml:space="preserve"> Gestori della Crisi</w:t>
      </w:r>
      <w:r w:rsidR="008844F9" w:rsidRPr="00AD4952">
        <w:t xml:space="preserve"> </w:t>
      </w:r>
      <w:r w:rsidR="008844F9">
        <w:t xml:space="preserve"> </w:t>
      </w:r>
      <w:r w:rsidR="0006700F">
        <w:t>dovranno</w:t>
      </w:r>
      <w:r w:rsidR="008844F9">
        <w:t xml:space="preserve"> comunque verificare la ricorrenza dei presupposti e depositeranno </w:t>
      </w:r>
      <w:r w:rsidRPr="00AD4952">
        <w:t xml:space="preserve">senza indugio apposita istanza </w:t>
      </w:r>
      <w:r w:rsidR="00705788" w:rsidRPr="00AD4952">
        <w:t>(da denominarsi “</w:t>
      </w:r>
      <w:r w:rsidR="00705788" w:rsidRPr="00AD4952">
        <w:rPr>
          <w:i/>
        </w:rPr>
        <w:t>istanza per la valutazione dei presupposti di applicabilità dell’art. 1 commi 376, 377 e 378 L. 178/2020</w:t>
      </w:r>
      <w:r w:rsidR="00705788" w:rsidRPr="00AD4952">
        <w:t>”</w:t>
      </w:r>
      <w:r w:rsidR="00706A2E">
        <w:t>)</w:t>
      </w:r>
      <w:r w:rsidR="00705788" w:rsidRPr="00AD4952">
        <w:t xml:space="preserve"> </w:t>
      </w:r>
      <w:r w:rsidRPr="00AD4952">
        <w:t xml:space="preserve">al </w:t>
      </w:r>
      <w:r w:rsidR="008844F9">
        <w:t>GD</w:t>
      </w:r>
      <w:r w:rsidRPr="00AD4952">
        <w:t xml:space="preserve"> ai fini delle valutazioni di competenza, allegando alla stessa una relazione che evidenzi gli elementi oggettivi già desumibili dagli atti della procedura, da cui ricavarsi l’applicabilità alla procedura della normativa in esame.</w:t>
      </w:r>
      <w:r w:rsidR="00706A2E">
        <w:t xml:space="preserve"> </w:t>
      </w:r>
    </w:p>
    <w:p w:rsidR="00705788" w:rsidRPr="00AD4952" w:rsidRDefault="00705788" w:rsidP="00706A2E">
      <w:pPr>
        <w:spacing w:line="276" w:lineRule="auto"/>
        <w:jc w:val="both"/>
      </w:pPr>
      <w:r w:rsidRPr="00AD4952">
        <w:t>Sarà cura d</w:t>
      </w:r>
      <w:r w:rsidR="0006700F">
        <w:t>egli istanti</w:t>
      </w:r>
      <w:r w:rsidRPr="00AD4952">
        <w:t xml:space="preserve"> </w:t>
      </w:r>
      <w:r w:rsidRPr="004659B4">
        <w:rPr>
          <w:b/>
        </w:rPr>
        <w:t>evidenziare</w:t>
      </w:r>
      <w:r w:rsidRPr="00AD4952">
        <w:t xml:space="preserve">: </w:t>
      </w:r>
    </w:p>
    <w:p w:rsidR="00705788" w:rsidRPr="00AD4952" w:rsidRDefault="00705788" w:rsidP="00706A2E">
      <w:pPr>
        <w:spacing w:line="276" w:lineRule="auto"/>
        <w:jc w:val="both"/>
      </w:pPr>
      <w:r w:rsidRPr="00AD4952">
        <w:rPr>
          <w:b/>
        </w:rPr>
        <w:t>a)</w:t>
      </w:r>
      <w:r w:rsidRPr="00AD4952">
        <w:t xml:space="preserve"> gli elementi oggettivi da cui ricavarsi l’applicabilità della normativa in esame; </w:t>
      </w:r>
    </w:p>
    <w:p w:rsidR="007B6924" w:rsidRDefault="00705788" w:rsidP="00706A2E">
      <w:pPr>
        <w:spacing w:line="276" w:lineRule="auto"/>
        <w:jc w:val="both"/>
      </w:pPr>
      <w:r w:rsidRPr="00AD4952">
        <w:rPr>
          <w:b/>
        </w:rPr>
        <w:t>b)</w:t>
      </w:r>
      <w:r w:rsidRPr="00AD4952">
        <w:t xml:space="preserve"> se, nella descrizione del bene come indicata dalla perizia di stima siano ben evidenziati</w:t>
      </w:r>
      <w:r w:rsidR="007B6924">
        <w:t>:</w:t>
      </w:r>
    </w:p>
    <w:p w:rsidR="007B6924" w:rsidRDefault="007B6924" w:rsidP="007B6924">
      <w:pPr>
        <w:pStyle w:val="Paragrafoelenco"/>
        <w:numPr>
          <w:ilvl w:val="0"/>
          <w:numId w:val="19"/>
        </w:numPr>
        <w:spacing w:line="276" w:lineRule="auto"/>
        <w:jc w:val="both"/>
      </w:pPr>
      <w:r>
        <w:t>l</w:t>
      </w:r>
      <w:r w:rsidR="00705788" w:rsidRPr="00AD4952">
        <w:t>a natura del diritto di proprietà</w:t>
      </w:r>
      <w:r w:rsidR="005E4E76">
        <w:t xml:space="preserve"> superficiaria posto in vendita;</w:t>
      </w:r>
    </w:p>
    <w:p w:rsidR="00705788" w:rsidRPr="00AD4952" w:rsidRDefault="00705788" w:rsidP="007B6924">
      <w:pPr>
        <w:pStyle w:val="Paragrafoelenco"/>
        <w:numPr>
          <w:ilvl w:val="0"/>
          <w:numId w:val="19"/>
        </w:numPr>
        <w:spacing w:line="276" w:lineRule="auto"/>
        <w:jc w:val="both"/>
      </w:pPr>
      <w:r w:rsidRPr="00AD4952">
        <w:t xml:space="preserve">gli obblighi assunti dal Concessionario (per sé e i suoi aventi causa), sia in sede di stipula della Convenzione con il Comune per la concessione del diritto di superficie, sia con l’atto trascritto a favore dell’ente erogatore del finanziamento per la concessione dei contributi pubblici necessari per la realizzazione del programma di edilizia economica e popolare; </w:t>
      </w:r>
    </w:p>
    <w:p w:rsidR="00705788" w:rsidRPr="00AD4952" w:rsidRDefault="00705788" w:rsidP="00706A2E">
      <w:pPr>
        <w:spacing w:line="276" w:lineRule="auto"/>
        <w:jc w:val="both"/>
      </w:pPr>
      <w:r w:rsidRPr="00AD4952">
        <w:rPr>
          <w:b/>
        </w:rPr>
        <w:t>c)</w:t>
      </w:r>
      <w:r w:rsidRPr="00AD4952">
        <w:t xml:space="preserve"> se la determinazione del prezzo di </w:t>
      </w:r>
      <w:r w:rsidR="004659B4">
        <w:t>stima</w:t>
      </w:r>
      <w:r w:rsidRPr="00AD4952">
        <w:t xml:space="preserve"> abbia tenuto conto dell’esistenza di tali vincoli e in particolare, del prezzo massimo di cessione, operando in relazione ad esso la decurtazione corrispondente al costo di affrancazione</w:t>
      </w:r>
      <w:r w:rsidR="004659B4">
        <w:t xml:space="preserve"> (in caso negativo, segnaleranno all’esperto le mancanze in tempo utile affinché quest’ultimo provveda all’integrazione)</w:t>
      </w:r>
      <w:r w:rsidRPr="00AD4952">
        <w:t>;</w:t>
      </w:r>
    </w:p>
    <w:p w:rsidR="002B2207" w:rsidRDefault="00705788" w:rsidP="00706A2E">
      <w:pPr>
        <w:spacing w:line="276" w:lineRule="auto"/>
        <w:jc w:val="both"/>
      </w:pPr>
      <w:r w:rsidRPr="004659B4">
        <w:rPr>
          <w:b/>
        </w:rPr>
        <w:t>d)</w:t>
      </w:r>
      <w:r w:rsidRPr="004659B4">
        <w:t xml:space="preserve"> </w:t>
      </w:r>
      <w:r w:rsidR="002B2207" w:rsidRPr="004659B4">
        <w:t>se, in relazione a tali immobili, il creditore</w:t>
      </w:r>
      <w:r w:rsidR="004659B4" w:rsidRPr="004659B4">
        <w:t>/debitore istante</w:t>
      </w:r>
      <w:r w:rsidR="002B2207" w:rsidRPr="004659B4">
        <w:t xml:space="preserve"> abbia preventivamente notiziato, tramite posta elettronica certificata, gli uffici competenti del Comune dove sono ubicati gli immobili e l'ente erogatore del finanziamento territorialmente competente, sollecitando altresì il creditore al deposito, in formato .eml o .msg, nel fascicolo telematico delle ricevute di accettazione ed avvenuta consegna delle comunicazioni predette;</w:t>
      </w:r>
    </w:p>
    <w:p w:rsidR="004659B4" w:rsidRPr="00AD4952" w:rsidRDefault="004659B4" w:rsidP="004659B4">
      <w:pPr>
        <w:spacing w:line="276" w:lineRule="auto"/>
        <w:jc w:val="both"/>
      </w:pPr>
      <w:r w:rsidRPr="009B0DAE">
        <w:rPr>
          <w:b/>
        </w:rPr>
        <w:t>e)</w:t>
      </w:r>
      <w:r>
        <w:t xml:space="preserve"> </w:t>
      </w:r>
      <w:r w:rsidRPr="00AD4952">
        <w:t>se la procedura abbia avuto inizio su istanza dell’istituto di credito presso il quale è stato acceso il mutuo fondiario, in tale ipotesi verificando “</w:t>
      </w:r>
      <w:r w:rsidRPr="00AD4952">
        <w:rPr>
          <w:i/>
        </w:rPr>
        <w:t>la rispondenza del contratto di mutuo stipulato ai criteri di cui all’art. 44 l. 457/1978 e l’inserimento dell’ente creditore nell’elenco delle banche convenzionate presso il Ministero delle infrastrutture e dei trasporti</w:t>
      </w:r>
      <w:r w:rsidRPr="00AD4952">
        <w:t>”.</w:t>
      </w:r>
    </w:p>
    <w:p w:rsidR="004659B4" w:rsidRPr="00043FC3" w:rsidRDefault="004659B4" w:rsidP="004659B4">
      <w:pPr>
        <w:spacing w:line="276" w:lineRule="auto"/>
        <w:jc w:val="both"/>
        <w:rPr>
          <w:b/>
        </w:rPr>
      </w:pPr>
      <w:r w:rsidRPr="00043FC3">
        <w:rPr>
          <w:b/>
        </w:rPr>
        <w:t xml:space="preserve">Gli organi interessati dovranno </w:t>
      </w:r>
      <w:r w:rsidR="00043FC3" w:rsidRPr="00043FC3">
        <w:rPr>
          <w:b/>
        </w:rPr>
        <w:t>redigere</w:t>
      </w:r>
      <w:r w:rsidRPr="00043FC3">
        <w:rPr>
          <w:b/>
        </w:rPr>
        <w:t xml:space="preserve"> la relazione in forma chiara e completa, astenendosi </w:t>
      </w:r>
      <w:r w:rsidR="00043FC3" w:rsidRPr="00043FC3">
        <w:rPr>
          <w:b/>
        </w:rPr>
        <w:t>quindi</w:t>
      </w:r>
      <w:r w:rsidRPr="00043FC3">
        <w:rPr>
          <w:b/>
        </w:rPr>
        <w:t xml:space="preserve"> dal trasmettere istanze generiche e non circostanziate</w:t>
      </w:r>
      <w:r w:rsidR="00043FC3" w:rsidRPr="00043FC3">
        <w:rPr>
          <w:b/>
        </w:rPr>
        <w:t>.</w:t>
      </w:r>
    </w:p>
    <w:p w:rsidR="00705788" w:rsidRDefault="00705788" w:rsidP="00706A2E">
      <w:pPr>
        <w:spacing w:line="276" w:lineRule="auto"/>
        <w:jc w:val="both"/>
      </w:pPr>
      <w:r w:rsidRPr="00AD4952">
        <w:t xml:space="preserve">Si invitano gli </w:t>
      </w:r>
      <w:r w:rsidR="00043FC3" w:rsidRPr="00043FC3">
        <w:t xml:space="preserve">organi interessati </w:t>
      </w:r>
      <w:r w:rsidRPr="00AD4952">
        <w:t xml:space="preserve">ad attenersi al carattere urgente delle presenti disposizione </w:t>
      </w:r>
      <w:r w:rsidR="00043FC3">
        <w:t>(evidenziando</w:t>
      </w:r>
      <w:r w:rsidRPr="00AD4952">
        <w:t xml:space="preserve"> tale urgenza in</w:t>
      </w:r>
      <w:r w:rsidR="00043FC3">
        <w:t xml:space="preserve"> sede di deposito delle istanza) e ad effettuare i relativi controlli </w:t>
      </w:r>
      <w:r w:rsidR="00043FC3" w:rsidRPr="00043FC3">
        <w:rPr>
          <w:b/>
        </w:rPr>
        <w:t>entro 60 giorni</w:t>
      </w:r>
      <w:r w:rsidR="00043FC3">
        <w:t xml:space="preserve"> dalla comunicazione della presente circolare.</w:t>
      </w:r>
    </w:p>
    <w:p w:rsidR="00043FC3" w:rsidRDefault="00043FC3" w:rsidP="00043FC3">
      <w:pPr>
        <w:spacing w:line="276" w:lineRule="auto"/>
        <w:jc w:val="both"/>
      </w:pPr>
    </w:p>
    <w:p w:rsidR="00043FC3" w:rsidRDefault="00043FC3" w:rsidP="00043FC3">
      <w:pPr>
        <w:spacing w:line="276" w:lineRule="auto"/>
        <w:jc w:val="both"/>
      </w:pPr>
      <w:r w:rsidRPr="00706A2E">
        <w:lastRenderedPageBreak/>
        <w:t>La presente circolare contiene disposizioni afferen</w:t>
      </w:r>
      <w:r>
        <w:t>ti all’esecuzione dell’attività</w:t>
      </w:r>
      <w:r w:rsidRPr="00706A2E">
        <w:t xml:space="preserve">, integrativa dei provvedimenti di nomina, sicché il mancato rispetto delle relative prescrizioni costituisce elemento di valutazione per la </w:t>
      </w:r>
      <w:r w:rsidRPr="00706A2E">
        <w:rPr>
          <w:b/>
        </w:rPr>
        <w:t>sostituzione</w:t>
      </w:r>
      <w:r w:rsidR="00DF4D44">
        <w:rPr>
          <w:b/>
        </w:rPr>
        <w:t xml:space="preserve"> de</w:t>
      </w:r>
      <w:r>
        <w:rPr>
          <w:b/>
        </w:rPr>
        <w:t>gli organi</w:t>
      </w:r>
      <w:r w:rsidRPr="00706A2E">
        <w:rPr>
          <w:b/>
        </w:rPr>
        <w:t xml:space="preserve"> inadempient</w:t>
      </w:r>
      <w:r>
        <w:rPr>
          <w:b/>
        </w:rPr>
        <w:t>i</w:t>
      </w:r>
      <w:r w:rsidRPr="00706A2E">
        <w:t>.</w:t>
      </w:r>
    </w:p>
    <w:p w:rsidR="00844507" w:rsidRPr="00AD4952" w:rsidRDefault="00B14FD4" w:rsidP="00706A2E">
      <w:pPr>
        <w:spacing w:line="276" w:lineRule="auto"/>
        <w:jc w:val="both"/>
      </w:pPr>
      <w:r w:rsidRPr="00AD4952">
        <w:t>Si manda alla Cancelleria per la diffusione massima del presente provvedimento.</w:t>
      </w:r>
      <w:bookmarkStart w:id="0" w:name="_GoBack"/>
      <w:bookmarkEnd w:id="0"/>
    </w:p>
    <w:p w:rsidR="00B14FD4" w:rsidRPr="00DF4D44" w:rsidRDefault="00B14FD4" w:rsidP="00DF4D44">
      <w:pPr>
        <w:spacing w:line="276" w:lineRule="auto"/>
        <w:ind w:left="4956" w:firstLine="708"/>
        <w:jc w:val="both"/>
        <w:rPr>
          <w:b/>
        </w:rPr>
      </w:pPr>
      <w:r w:rsidRPr="00DF4D44">
        <w:rPr>
          <w:b/>
        </w:rPr>
        <w:t>I GIUDICE DEL</w:t>
      </w:r>
      <w:r w:rsidR="0006700F" w:rsidRPr="00DF4D44">
        <w:rPr>
          <w:b/>
        </w:rPr>
        <w:t>EGATI</w:t>
      </w:r>
    </w:p>
    <w:p w:rsidR="00D42306" w:rsidRPr="00DF4D44" w:rsidRDefault="00DF4D44" w:rsidP="00DF4D44">
      <w:pPr>
        <w:spacing w:line="276" w:lineRule="auto"/>
        <w:ind w:left="4956" w:firstLine="708"/>
        <w:jc w:val="both"/>
        <w:rPr>
          <w:b/>
          <w:i/>
        </w:rPr>
      </w:pPr>
      <w:r>
        <w:rPr>
          <w:b/>
          <w:i/>
        </w:rPr>
        <w:t xml:space="preserve">  </w:t>
      </w:r>
      <w:r w:rsidR="005E4E76" w:rsidRPr="00DF4D44">
        <w:rPr>
          <w:b/>
          <w:i/>
        </w:rPr>
        <w:t xml:space="preserve">Dott. Alessandro </w:t>
      </w:r>
      <w:r w:rsidR="00A52DE2" w:rsidRPr="00DF4D44">
        <w:rPr>
          <w:b/>
          <w:i/>
        </w:rPr>
        <w:t xml:space="preserve">Paone </w:t>
      </w:r>
    </w:p>
    <w:p w:rsidR="00DF4D44" w:rsidRDefault="00DF4D44" w:rsidP="00DF4D44">
      <w:pPr>
        <w:spacing w:line="276" w:lineRule="auto"/>
        <w:jc w:val="both"/>
        <w:rPr>
          <w:b/>
          <w:i/>
        </w:rPr>
      </w:pPr>
    </w:p>
    <w:p w:rsidR="00A52DE2" w:rsidRPr="00DF4D44" w:rsidRDefault="005E4E76" w:rsidP="00DF4D44">
      <w:pPr>
        <w:spacing w:line="276" w:lineRule="auto"/>
        <w:ind w:left="4956" w:firstLine="708"/>
        <w:jc w:val="both"/>
        <w:rPr>
          <w:b/>
          <w:i/>
        </w:rPr>
      </w:pPr>
      <w:r w:rsidRPr="00DF4D44">
        <w:rPr>
          <w:b/>
          <w:i/>
        </w:rPr>
        <w:t xml:space="preserve">Dott.ssa Giuliana </w:t>
      </w:r>
      <w:r w:rsidR="00A52DE2" w:rsidRPr="00DF4D44">
        <w:rPr>
          <w:b/>
          <w:i/>
        </w:rPr>
        <w:t xml:space="preserve">Gaudiano </w:t>
      </w:r>
    </w:p>
    <w:p w:rsidR="005E4E76" w:rsidRPr="00A52DE2" w:rsidRDefault="005E4E76">
      <w:pPr>
        <w:spacing w:line="276" w:lineRule="auto"/>
        <w:jc w:val="right"/>
        <w:rPr>
          <w:i/>
        </w:rPr>
      </w:pPr>
    </w:p>
    <w:sectPr w:rsidR="005E4E76" w:rsidRPr="00A52DE2" w:rsidSect="009228AE">
      <w:pgSz w:w="11906" w:h="16838"/>
      <w:pgMar w:top="993" w:right="141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205" w:rsidRDefault="00531205" w:rsidP="000A5B4E">
      <w:r>
        <w:separator/>
      </w:r>
    </w:p>
  </w:endnote>
  <w:endnote w:type="continuationSeparator" w:id="0">
    <w:p w:rsidR="00531205" w:rsidRDefault="00531205" w:rsidP="000A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205" w:rsidRDefault="00531205" w:rsidP="000A5B4E">
      <w:r>
        <w:separator/>
      </w:r>
    </w:p>
  </w:footnote>
  <w:footnote w:type="continuationSeparator" w:id="0">
    <w:p w:rsidR="00531205" w:rsidRDefault="00531205" w:rsidP="000A5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3F3"/>
    <w:multiLevelType w:val="hybridMultilevel"/>
    <w:tmpl w:val="5F663BC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44093D"/>
    <w:multiLevelType w:val="hybridMultilevel"/>
    <w:tmpl w:val="44BC427A"/>
    <w:lvl w:ilvl="0" w:tplc="3EBE6C7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CE6FD1"/>
    <w:multiLevelType w:val="hybridMultilevel"/>
    <w:tmpl w:val="C51EA8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B4474"/>
    <w:multiLevelType w:val="hybridMultilevel"/>
    <w:tmpl w:val="C51EA82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FC6204F"/>
    <w:multiLevelType w:val="hybridMultilevel"/>
    <w:tmpl w:val="68D2B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9D6B98"/>
    <w:multiLevelType w:val="hybridMultilevel"/>
    <w:tmpl w:val="F7B6BA7C"/>
    <w:lvl w:ilvl="0" w:tplc="C178A972">
      <w:start w:val="1"/>
      <w:numFmt w:val="decimal"/>
      <w:lvlText w:val="%1)"/>
      <w:lvlJc w:val="left"/>
      <w:pPr>
        <w:ind w:left="720" w:hanging="360"/>
      </w:pPr>
    </w:lvl>
    <w:lvl w:ilvl="1" w:tplc="289C61DE">
      <w:start w:val="1"/>
      <w:numFmt w:val="lowerLetter"/>
      <w:lvlText w:val="%2."/>
      <w:lvlJc w:val="left"/>
      <w:pPr>
        <w:ind w:left="1440" w:hanging="360"/>
      </w:pPr>
    </w:lvl>
    <w:lvl w:ilvl="2" w:tplc="1F960AEE">
      <w:start w:val="1"/>
      <w:numFmt w:val="lowerRoman"/>
      <w:lvlText w:val="%3."/>
      <w:lvlJc w:val="right"/>
      <w:pPr>
        <w:ind w:left="2160" w:hanging="180"/>
      </w:pPr>
    </w:lvl>
    <w:lvl w:ilvl="3" w:tplc="C6622D02">
      <w:start w:val="1"/>
      <w:numFmt w:val="decimal"/>
      <w:lvlText w:val="%4."/>
      <w:lvlJc w:val="left"/>
      <w:pPr>
        <w:ind w:left="2880" w:hanging="360"/>
      </w:pPr>
    </w:lvl>
    <w:lvl w:ilvl="4" w:tplc="27AAFBCC">
      <w:start w:val="1"/>
      <w:numFmt w:val="lowerLetter"/>
      <w:lvlText w:val="%5."/>
      <w:lvlJc w:val="left"/>
      <w:pPr>
        <w:ind w:left="3600" w:hanging="360"/>
      </w:pPr>
    </w:lvl>
    <w:lvl w:ilvl="5" w:tplc="4E4E87CC">
      <w:start w:val="1"/>
      <w:numFmt w:val="lowerRoman"/>
      <w:lvlText w:val="%6."/>
      <w:lvlJc w:val="right"/>
      <w:pPr>
        <w:ind w:left="4320" w:hanging="180"/>
      </w:pPr>
    </w:lvl>
    <w:lvl w:ilvl="6" w:tplc="0E72679C">
      <w:start w:val="1"/>
      <w:numFmt w:val="decimal"/>
      <w:lvlText w:val="%7."/>
      <w:lvlJc w:val="left"/>
      <w:pPr>
        <w:ind w:left="5040" w:hanging="360"/>
      </w:pPr>
    </w:lvl>
    <w:lvl w:ilvl="7" w:tplc="69AAFB2A">
      <w:start w:val="1"/>
      <w:numFmt w:val="lowerLetter"/>
      <w:lvlText w:val="%8."/>
      <w:lvlJc w:val="left"/>
      <w:pPr>
        <w:ind w:left="5760" w:hanging="360"/>
      </w:pPr>
    </w:lvl>
    <w:lvl w:ilvl="8" w:tplc="2A5EB972">
      <w:start w:val="1"/>
      <w:numFmt w:val="lowerRoman"/>
      <w:lvlText w:val="%9."/>
      <w:lvlJc w:val="right"/>
      <w:pPr>
        <w:ind w:left="6480" w:hanging="180"/>
      </w:pPr>
    </w:lvl>
  </w:abstractNum>
  <w:abstractNum w:abstractNumId="6" w15:restartNumberingAfterBreak="0">
    <w:nsid w:val="31BC42D0"/>
    <w:multiLevelType w:val="hybridMultilevel"/>
    <w:tmpl w:val="D3F280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0231B7"/>
    <w:multiLevelType w:val="hybridMultilevel"/>
    <w:tmpl w:val="E4A2DADA"/>
    <w:lvl w:ilvl="0" w:tplc="76C02354">
      <w:numFmt w:val="bullet"/>
      <w:lvlText w:val="-"/>
      <w:lvlJc w:val="left"/>
      <w:pPr>
        <w:ind w:left="643" w:hanging="360"/>
      </w:pPr>
      <w:rPr>
        <w:rFonts w:ascii="Times New Roman" w:eastAsia="Times New Roman" w:hAnsi="Times New Roman" w:cs="Times New Roman" w:hint="default"/>
      </w:rPr>
    </w:lvl>
    <w:lvl w:ilvl="1" w:tplc="D362F2EC">
      <w:start w:val="1"/>
      <w:numFmt w:val="bullet"/>
      <w:lvlText w:val="o"/>
      <w:lvlJc w:val="left"/>
      <w:pPr>
        <w:ind w:left="1440" w:hanging="360"/>
      </w:pPr>
      <w:rPr>
        <w:rFonts w:ascii="Courier New" w:hAnsi="Courier New" w:cs="Courier New" w:hint="default"/>
      </w:rPr>
    </w:lvl>
    <w:lvl w:ilvl="2" w:tplc="CC8EF362">
      <w:start w:val="1"/>
      <w:numFmt w:val="bullet"/>
      <w:lvlText w:val=""/>
      <w:lvlJc w:val="left"/>
      <w:pPr>
        <w:ind w:left="2160" w:hanging="360"/>
      </w:pPr>
      <w:rPr>
        <w:rFonts w:ascii="Wingdings" w:hAnsi="Wingdings" w:hint="default"/>
      </w:rPr>
    </w:lvl>
    <w:lvl w:ilvl="3" w:tplc="9398BC3C">
      <w:start w:val="1"/>
      <w:numFmt w:val="bullet"/>
      <w:lvlText w:val=""/>
      <w:lvlJc w:val="left"/>
      <w:pPr>
        <w:ind w:left="2880" w:hanging="360"/>
      </w:pPr>
      <w:rPr>
        <w:rFonts w:ascii="Symbol" w:hAnsi="Symbol" w:hint="default"/>
      </w:rPr>
    </w:lvl>
    <w:lvl w:ilvl="4" w:tplc="C520DA16">
      <w:start w:val="1"/>
      <w:numFmt w:val="bullet"/>
      <w:lvlText w:val="o"/>
      <w:lvlJc w:val="left"/>
      <w:pPr>
        <w:ind w:left="3600" w:hanging="360"/>
      </w:pPr>
      <w:rPr>
        <w:rFonts w:ascii="Courier New" w:hAnsi="Courier New" w:cs="Courier New" w:hint="default"/>
      </w:rPr>
    </w:lvl>
    <w:lvl w:ilvl="5" w:tplc="07908E7C">
      <w:start w:val="1"/>
      <w:numFmt w:val="bullet"/>
      <w:lvlText w:val=""/>
      <w:lvlJc w:val="left"/>
      <w:pPr>
        <w:ind w:left="4320" w:hanging="360"/>
      </w:pPr>
      <w:rPr>
        <w:rFonts w:ascii="Wingdings" w:hAnsi="Wingdings" w:hint="default"/>
      </w:rPr>
    </w:lvl>
    <w:lvl w:ilvl="6" w:tplc="948C4656">
      <w:start w:val="1"/>
      <w:numFmt w:val="bullet"/>
      <w:lvlText w:val=""/>
      <w:lvlJc w:val="left"/>
      <w:pPr>
        <w:ind w:left="5040" w:hanging="360"/>
      </w:pPr>
      <w:rPr>
        <w:rFonts w:ascii="Symbol" w:hAnsi="Symbol" w:hint="default"/>
      </w:rPr>
    </w:lvl>
    <w:lvl w:ilvl="7" w:tplc="DA800B96">
      <w:start w:val="1"/>
      <w:numFmt w:val="bullet"/>
      <w:lvlText w:val="o"/>
      <w:lvlJc w:val="left"/>
      <w:pPr>
        <w:ind w:left="5760" w:hanging="360"/>
      </w:pPr>
      <w:rPr>
        <w:rFonts w:ascii="Courier New" w:hAnsi="Courier New" w:cs="Courier New" w:hint="default"/>
      </w:rPr>
    </w:lvl>
    <w:lvl w:ilvl="8" w:tplc="F1B8CE84">
      <w:start w:val="1"/>
      <w:numFmt w:val="bullet"/>
      <w:lvlText w:val=""/>
      <w:lvlJc w:val="left"/>
      <w:pPr>
        <w:ind w:left="6480" w:hanging="360"/>
      </w:pPr>
      <w:rPr>
        <w:rFonts w:ascii="Wingdings" w:hAnsi="Wingdings" w:hint="default"/>
      </w:rPr>
    </w:lvl>
  </w:abstractNum>
  <w:abstractNum w:abstractNumId="8" w15:restartNumberingAfterBreak="0">
    <w:nsid w:val="41D422F8"/>
    <w:multiLevelType w:val="hybridMultilevel"/>
    <w:tmpl w:val="F79011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FB503E"/>
    <w:multiLevelType w:val="hybridMultilevel"/>
    <w:tmpl w:val="38EE7FFC"/>
    <w:lvl w:ilvl="0" w:tplc="25E2DB36">
      <w:numFmt w:val="bullet"/>
      <w:lvlText w:val="-"/>
      <w:lvlJc w:val="left"/>
      <w:pPr>
        <w:ind w:left="643"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97477F"/>
    <w:multiLevelType w:val="hybridMultilevel"/>
    <w:tmpl w:val="209C4222"/>
    <w:lvl w:ilvl="0" w:tplc="9FD894EC">
      <w:start w:val="1"/>
      <w:numFmt w:val="decimal"/>
      <w:lvlText w:val="%1."/>
      <w:lvlJc w:val="left"/>
      <w:pPr>
        <w:ind w:left="644" w:hanging="360"/>
      </w:pPr>
      <w:rPr>
        <w:b/>
      </w:rPr>
    </w:lvl>
    <w:lvl w:ilvl="1" w:tplc="87B6C42C">
      <w:start w:val="1"/>
      <w:numFmt w:val="lowerLetter"/>
      <w:lvlText w:val="%2."/>
      <w:lvlJc w:val="left"/>
      <w:pPr>
        <w:ind w:left="1364" w:hanging="360"/>
      </w:pPr>
    </w:lvl>
    <w:lvl w:ilvl="2" w:tplc="72A6D5F4">
      <w:start w:val="1"/>
      <w:numFmt w:val="lowerRoman"/>
      <w:lvlText w:val="%3."/>
      <w:lvlJc w:val="right"/>
      <w:pPr>
        <w:ind w:left="2084" w:hanging="180"/>
      </w:pPr>
    </w:lvl>
    <w:lvl w:ilvl="3" w:tplc="94E498AC">
      <w:start w:val="1"/>
      <w:numFmt w:val="decimal"/>
      <w:lvlText w:val="%4."/>
      <w:lvlJc w:val="left"/>
      <w:pPr>
        <w:ind w:left="2804" w:hanging="360"/>
      </w:pPr>
    </w:lvl>
    <w:lvl w:ilvl="4" w:tplc="6E705024">
      <w:start w:val="1"/>
      <w:numFmt w:val="lowerLetter"/>
      <w:lvlText w:val="%5."/>
      <w:lvlJc w:val="left"/>
      <w:pPr>
        <w:ind w:left="3524" w:hanging="360"/>
      </w:pPr>
    </w:lvl>
    <w:lvl w:ilvl="5" w:tplc="DFEAC5DE">
      <w:start w:val="1"/>
      <w:numFmt w:val="lowerRoman"/>
      <w:lvlText w:val="%6."/>
      <w:lvlJc w:val="right"/>
      <w:pPr>
        <w:ind w:left="4244" w:hanging="180"/>
      </w:pPr>
    </w:lvl>
    <w:lvl w:ilvl="6" w:tplc="6A8618AE">
      <w:start w:val="1"/>
      <w:numFmt w:val="decimal"/>
      <w:lvlText w:val="%7."/>
      <w:lvlJc w:val="left"/>
      <w:pPr>
        <w:ind w:left="4964" w:hanging="360"/>
      </w:pPr>
    </w:lvl>
    <w:lvl w:ilvl="7" w:tplc="1CA4486C">
      <w:start w:val="1"/>
      <w:numFmt w:val="lowerLetter"/>
      <w:lvlText w:val="%8."/>
      <w:lvlJc w:val="left"/>
      <w:pPr>
        <w:ind w:left="5684" w:hanging="360"/>
      </w:pPr>
    </w:lvl>
    <w:lvl w:ilvl="8" w:tplc="B1606560">
      <w:start w:val="1"/>
      <w:numFmt w:val="lowerRoman"/>
      <w:lvlText w:val="%9."/>
      <w:lvlJc w:val="right"/>
      <w:pPr>
        <w:ind w:left="6404" w:hanging="180"/>
      </w:pPr>
    </w:lvl>
  </w:abstractNum>
  <w:abstractNum w:abstractNumId="11" w15:restartNumberingAfterBreak="0">
    <w:nsid w:val="526B2769"/>
    <w:multiLevelType w:val="hybridMultilevel"/>
    <w:tmpl w:val="57C0EE44"/>
    <w:lvl w:ilvl="0" w:tplc="3EBE6C7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AA4296"/>
    <w:multiLevelType w:val="hybridMultilevel"/>
    <w:tmpl w:val="05F845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A91171"/>
    <w:multiLevelType w:val="hybridMultilevel"/>
    <w:tmpl w:val="9A46D834"/>
    <w:lvl w:ilvl="0" w:tplc="BE80E9D2">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D774B4F"/>
    <w:multiLevelType w:val="hybridMultilevel"/>
    <w:tmpl w:val="5F663BC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D7F745F"/>
    <w:multiLevelType w:val="hybridMultilevel"/>
    <w:tmpl w:val="9FE48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E032F7B"/>
    <w:multiLevelType w:val="hybridMultilevel"/>
    <w:tmpl w:val="424CAC10"/>
    <w:lvl w:ilvl="0" w:tplc="606ECFC0">
      <w:start w:val="1"/>
      <w:numFmt w:val="lowerLetter"/>
      <w:lvlText w:val="%1."/>
      <w:lvlJc w:val="left"/>
      <w:pPr>
        <w:ind w:left="502" w:hanging="360"/>
      </w:pPr>
      <w:rPr>
        <w:rFonts w:hint="default"/>
        <w:b/>
        <w:u w:val="singl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AF38B7"/>
    <w:multiLevelType w:val="hybridMultilevel"/>
    <w:tmpl w:val="E65E2F5E"/>
    <w:lvl w:ilvl="0" w:tplc="6FCA2682">
      <w:start w:val="1"/>
      <w:numFmt w:val="lowerLetter"/>
      <w:lvlText w:val="%1)"/>
      <w:lvlJc w:val="left"/>
      <w:pPr>
        <w:ind w:left="786" w:hanging="360"/>
      </w:pPr>
    </w:lvl>
    <w:lvl w:ilvl="1" w:tplc="8EB88D28">
      <w:start w:val="1"/>
      <w:numFmt w:val="lowerLetter"/>
      <w:lvlText w:val="%2."/>
      <w:lvlJc w:val="left"/>
      <w:pPr>
        <w:ind w:left="1506" w:hanging="360"/>
      </w:pPr>
    </w:lvl>
    <w:lvl w:ilvl="2" w:tplc="9C9EE924">
      <w:start w:val="1"/>
      <w:numFmt w:val="lowerRoman"/>
      <w:lvlText w:val="%3."/>
      <w:lvlJc w:val="right"/>
      <w:pPr>
        <w:ind w:left="2226" w:hanging="180"/>
      </w:pPr>
    </w:lvl>
    <w:lvl w:ilvl="3" w:tplc="B036BC18">
      <w:start w:val="1"/>
      <w:numFmt w:val="decimal"/>
      <w:lvlText w:val="%4."/>
      <w:lvlJc w:val="left"/>
      <w:pPr>
        <w:ind w:left="2946" w:hanging="360"/>
      </w:pPr>
    </w:lvl>
    <w:lvl w:ilvl="4" w:tplc="5428FB94">
      <w:start w:val="1"/>
      <w:numFmt w:val="lowerLetter"/>
      <w:lvlText w:val="%5."/>
      <w:lvlJc w:val="left"/>
      <w:pPr>
        <w:ind w:left="3666" w:hanging="360"/>
      </w:pPr>
    </w:lvl>
    <w:lvl w:ilvl="5" w:tplc="24CCF164">
      <w:start w:val="1"/>
      <w:numFmt w:val="lowerRoman"/>
      <w:lvlText w:val="%6."/>
      <w:lvlJc w:val="right"/>
      <w:pPr>
        <w:ind w:left="4386" w:hanging="180"/>
      </w:pPr>
    </w:lvl>
    <w:lvl w:ilvl="6" w:tplc="50D68B20">
      <w:start w:val="1"/>
      <w:numFmt w:val="decimal"/>
      <w:lvlText w:val="%7."/>
      <w:lvlJc w:val="left"/>
      <w:pPr>
        <w:ind w:left="5106" w:hanging="360"/>
      </w:pPr>
    </w:lvl>
    <w:lvl w:ilvl="7" w:tplc="E90C3410">
      <w:start w:val="1"/>
      <w:numFmt w:val="lowerLetter"/>
      <w:lvlText w:val="%8."/>
      <w:lvlJc w:val="left"/>
      <w:pPr>
        <w:ind w:left="5826" w:hanging="360"/>
      </w:pPr>
    </w:lvl>
    <w:lvl w:ilvl="8" w:tplc="C1D80934">
      <w:start w:val="1"/>
      <w:numFmt w:val="lowerRoman"/>
      <w:lvlText w:val="%9."/>
      <w:lvlJc w:val="right"/>
      <w:pPr>
        <w:ind w:left="6546" w:hanging="180"/>
      </w:pPr>
    </w:lvl>
  </w:abstractNum>
  <w:abstractNum w:abstractNumId="18" w15:restartNumberingAfterBreak="0">
    <w:nsid w:val="7E2641F7"/>
    <w:multiLevelType w:val="hybridMultilevel"/>
    <w:tmpl w:val="0E64712A"/>
    <w:lvl w:ilvl="0" w:tplc="7CFEC17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8"/>
  </w:num>
  <w:num w:numId="4">
    <w:abstractNumId w:val="13"/>
  </w:num>
  <w:num w:numId="5">
    <w:abstractNumId w:val="9"/>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6"/>
  </w:num>
  <w:num w:numId="11">
    <w:abstractNumId w:val="14"/>
  </w:num>
  <w:num w:numId="12">
    <w:abstractNumId w:val="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num>
  <w:num w:numId="18">
    <w:abstractNumId w:val="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5B"/>
    <w:rsid w:val="00015FF2"/>
    <w:rsid w:val="00024955"/>
    <w:rsid w:val="00032795"/>
    <w:rsid w:val="00043FC3"/>
    <w:rsid w:val="00045066"/>
    <w:rsid w:val="000467C1"/>
    <w:rsid w:val="00057495"/>
    <w:rsid w:val="000575BF"/>
    <w:rsid w:val="0006700F"/>
    <w:rsid w:val="00086DC7"/>
    <w:rsid w:val="000947EA"/>
    <w:rsid w:val="00095D5D"/>
    <w:rsid w:val="000A258F"/>
    <w:rsid w:val="000A3DE0"/>
    <w:rsid w:val="000A5809"/>
    <w:rsid w:val="000A5B4E"/>
    <w:rsid w:val="000B47AB"/>
    <w:rsid w:val="000B5A21"/>
    <w:rsid w:val="000C02C4"/>
    <w:rsid w:val="000C541A"/>
    <w:rsid w:val="000D7C49"/>
    <w:rsid w:val="000E6B4E"/>
    <w:rsid w:val="00111F09"/>
    <w:rsid w:val="001121F8"/>
    <w:rsid w:val="001512E9"/>
    <w:rsid w:val="00157A58"/>
    <w:rsid w:val="001767CE"/>
    <w:rsid w:val="001856E9"/>
    <w:rsid w:val="001A5417"/>
    <w:rsid w:val="001A7306"/>
    <w:rsid w:val="001B1C70"/>
    <w:rsid w:val="001B1DAC"/>
    <w:rsid w:val="001C1DE8"/>
    <w:rsid w:val="001C7F5D"/>
    <w:rsid w:val="001D57B4"/>
    <w:rsid w:val="001E121E"/>
    <w:rsid w:val="001F1C1A"/>
    <w:rsid w:val="00203698"/>
    <w:rsid w:val="00203D8B"/>
    <w:rsid w:val="00215343"/>
    <w:rsid w:val="00223E5B"/>
    <w:rsid w:val="00226288"/>
    <w:rsid w:val="002308FA"/>
    <w:rsid w:val="0024290C"/>
    <w:rsid w:val="00243CC9"/>
    <w:rsid w:val="00244EFD"/>
    <w:rsid w:val="00246171"/>
    <w:rsid w:val="0029689D"/>
    <w:rsid w:val="002A56E3"/>
    <w:rsid w:val="002B2207"/>
    <w:rsid w:val="002C0D49"/>
    <w:rsid w:val="002C6D70"/>
    <w:rsid w:val="002F6C36"/>
    <w:rsid w:val="002F7F79"/>
    <w:rsid w:val="0030216E"/>
    <w:rsid w:val="0030450F"/>
    <w:rsid w:val="003072B2"/>
    <w:rsid w:val="0033494C"/>
    <w:rsid w:val="00336EE4"/>
    <w:rsid w:val="0035171E"/>
    <w:rsid w:val="00353194"/>
    <w:rsid w:val="0035669A"/>
    <w:rsid w:val="00366DE1"/>
    <w:rsid w:val="003912B7"/>
    <w:rsid w:val="003A23EC"/>
    <w:rsid w:val="003A74BA"/>
    <w:rsid w:val="003C4617"/>
    <w:rsid w:val="003C5748"/>
    <w:rsid w:val="003F44C7"/>
    <w:rsid w:val="00405375"/>
    <w:rsid w:val="00421B13"/>
    <w:rsid w:val="0042662F"/>
    <w:rsid w:val="0042732D"/>
    <w:rsid w:val="00431EF5"/>
    <w:rsid w:val="0043702E"/>
    <w:rsid w:val="00446269"/>
    <w:rsid w:val="004659B4"/>
    <w:rsid w:val="004761BE"/>
    <w:rsid w:val="0049730C"/>
    <w:rsid w:val="004A0C90"/>
    <w:rsid w:val="004B090D"/>
    <w:rsid w:val="004C3C95"/>
    <w:rsid w:val="004E28B2"/>
    <w:rsid w:val="004E7888"/>
    <w:rsid w:val="004F4FF0"/>
    <w:rsid w:val="004F69DB"/>
    <w:rsid w:val="00531205"/>
    <w:rsid w:val="00570916"/>
    <w:rsid w:val="005B4CAD"/>
    <w:rsid w:val="005D13B8"/>
    <w:rsid w:val="005D55C0"/>
    <w:rsid w:val="005D6317"/>
    <w:rsid w:val="005E0417"/>
    <w:rsid w:val="005E4E76"/>
    <w:rsid w:val="00606D59"/>
    <w:rsid w:val="006214D5"/>
    <w:rsid w:val="00624029"/>
    <w:rsid w:val="0064218C"/>
    <w:rsid w:val="006479B2"/>
    <w:rsid w:val="00652BB9"/>
    <w:rsid w:val="006629DC"/>
    <w:rsid w:val="00665A47"/>
    <w:rsid w:val="0066777D"/>
    <w:rsid w:val="00675DAF"/>
    <w:rsid w:val="00681B99"/>
    <w:rsid w:val="00686C21"/>
    <w:rsid w:val="006C11AC"/>
    <w:rsid w:val="006C2652"/>
    <w:rsid w:val="006C7F3B"/>
    <w:rsid w:val="006E3667"/>
    <w:rsid w:val="00705788"/>
    <w:rsid w:val="00706A2E"/>
    <w:rsid w:val="00710492"/>
    <w:rsid w:val="007144B5"/>
    <w:rsid w:val="007154A1"/>
    <w:rsid w:val="007358D6"/>
    <w:rsid w:val="00747C9B"/>
    <w:rsid w:val="00780BDF"/>
    <w:rsid w:val="007831FD"/>
    <w:rsid w:val="00795850"/>
    <w:rsid w:val="0079653F"/>
    <w:rsid w:val="007971A2"/>
    <w:rsid w:val="007A473E"/>
    <w:rsid w:val="007A6BFF"/>
    <w:rsid w:val="007B6924"/>
    <w:rsid w:val="007D0B90"/>
    <w:rsid w:val="007D1D33"/>
    <w:rsid w:val="007E10B3"/>
    <w:rsid w:val="007E50F2"/>
    <w:rsid w:val="007E610D"/>
    <w:rsid w:val="007F41DA"/>
    <w:rsid w:val="007F482C"/>
    <w:rsid w:val="00805BFF"/>
    <w:rsid w:val="0082135A"/>
    <w:rsid w:val="00844507"/>
    <w:rsid w:val="008844F9"/>
    <w:rsid w:val="00891831"/>
    <w:rsid w:val="008918DA"/>
    <w:rsid w:val="008A4A8A"/>
    <w:rsid w:val="008A7C97"/>
    <w:rsid w:val="008B387C"/>
    <w:rsid w:val="008D6FD8"/>
    <w:rsid w:val="008E30EF"/>
    <w:rsid w:val="00900FF4"/>
    <w:rsid w:val="0091711E"/>
    <w:rsid w:val="009214D6"/>
    <w:rsid w:val="0092156A"/>
    <w:rsid w:val="00921BD3"/>
    <w:rsid w:val="009228AE"/>
    <w:rsid w:val="00927F6E"/>
    <w:rsid w:val="009514DD"/>
    <w:rsid w:val="00970624"/>
    <w:rsid w:val="009856E8"/>
    <w:rsid w:val="009A2824"/>
    <w:rsid w:val="009B0DAE"/>
    <w:rsid w:val="009D7659"/>
    <w:rsid w:val="009E3A52"/>
    <w:rsid w:val="00A077D3"/>
    <w:rsid w:val="00A43F1A"/>
    <w:rsid w:val="00A44CE3"/>
    <w:rsid w:val="00A52DE2"/>
    <w:rsid w:val="00A5456B"/>
    <w:rsid w:val="00A54D19"/>
    <w:rsid w:val="00A6772A"/>
    <w:rsid w:val="00A742A8"/>
    <w:rsid w:val="00A76A6A"/>
    <w:rsid w:val="00A85C9F"/>
    <w:rsid w:val="00AA3D3E"/>
    <w:rsid w:val="00AB6D3D"/>
    <w:rsid w:val="00AC17B2"/>
    <w:rsid w:val="00AC24FB"/>
    <w:rsid w:val="00AC32EB"/>
    <w:rsid w:val="00AD4952"/>
    <w:rsid w:val="00AD57E3"/>
    <w:rsid w:val="00AD7FFD"/>
    <w:rsid w:val="00B03289"/>
    <w:rsid w:val="00B0508A"/>
    <w:rsid w:val="00B06ED5"/>
    <w:rsid w:val="00B14FD4"/>
    <w:rsid w:val="00B15978"/>
    <w:rsid w:val="00B213C7"/>
    <w:rsid w:val="00B27B1D"/>
    <w:rsid w:val="00B37A54"/>
    <w:rsid w:val="00B43BF1"/>
    <w:rsid w:val="00B55C2A"/>
    <w:rsid w:val="00B5655B"/>
    <w:rsid w:val="00B652D8"/>
    <w:rsid w:val="00B72719"/>
    <w:rsid w:val="00B73675"/>
    <w:rsid w:val="00B95F6F"/>
    <w:rsid w:val="00B97F89"/>
    <w:rsid w:val="00BA3E0C"/>
    <w:rsid w:val="00BA4A62"/>
    <w:rsid w:val="00BD1B3B"/>
    <w:rsid w:val="00BE41B5"/>
    <w:rsid w:val="00BE7B96"/>
    <w:rsid w:val="00BF332B"/>
    <w:rsid w:val="00C14233"/>
    <w:rsid w:val="00C142D7"/>
    <w:rsid w:val="00C2327E"/>
    <w:rsid w:val="00C2513A"/>
    <w:rsid w:val="00C34991"/>
    <w:rsid w:val="00C34EE4"/>
    <w:rsid w:val="00C51474"/>
    <w:rsid w:val="00C55DEA"/>
    <w:rsid w:val="00C67E05"/>
    <w:rsid w:val="00C83DF4"/>
    <w:rsid w:val="00C95FE8"/>
    <w:rsid w:val="00CC5FEF"/>
    <w:rsid w:val="00CD4BA9"/>
    <w:rsid w:val="00CE5682"/>
    <w:rsid w:val="00CF4A4C"/>
    <w:rsid w:val="00D0025A"/>
    <w:rsid w:val="00D00678"/>
    <w:rsid w:val="00D17B48"/>
    <w:rsid w:val="00D33EDA"/>
    <w:rsid w:val="00D42306"/>
    <w:rsid w:val="00D46E2B"/>
    <w:rsid w:val="00D770E0"/>
    <w:rsid w:val="00D824F6"/>
    <w:rsid w:val="00D84F31"/>
    <w:rsid w:val="00D879D2"/>
    <w:rsid w:val="00DF4D44"/>
    <w:rsid w:val="00E01ED3"/>
    <w:rsid w:val="00E120FE"/>
    <w:rsid w:val="00E13EA1"/>
    <w:rsid w:val="00E302E7"/>
    <w:rsid w:val="00E33541"/>
    <w:rsid w:val="00E3456C"/>
    <w:rsid w:val="00E354D4"/>
    <w:rsid w:val="00E379DD"/>
    <w:rsid w:val="00E42B97"/>
    <w:rsid w:val="00E55606"/>
    <w:rsid w:val="00E62AF0"/>
    <w:rsid w:val="00E83703"/>
    <w:rsid w:val="00E86205"/>
    <w:rsid w:val="00EA3484"/>
    <w:rsid w:val="00EA4AD3"/>
    <w:rsid w:val="00EB20F9"/>
    <w:rsid w:val="00EC70A9"/>
    <w:rsid w:val="00EC7A00"/>
    <w:rsid w:val="00ED397B"/>
    <w:rsid w:val="00ED7C3E"/>
    <w:rsid w:val="00EE6C06"/>
    <w:rsid w:val="00EF21C2"/>
    <w:rsid w:val="00F05CC3"/>
    <w:rsid w:val="00F11E85"/>
    <w:rsid w:val="00F2010C"/>
    <w:rsid w:val="00F25E68"/>
    <w:rsid w:val="00F2684F"/>
    <w:rsid w:val="00F36126"/>
    <w:rsid w:val="00F532EE"/>
    <w:rsid w:val="00F533DE"/>
    <w:rsid w:val="00F653A9"/>
    <w:rsid w:val="00F73DB9"/>
    <w:rsid w:val="00F84600"/>
    <w:rsid w:val="00F90F53"/>
    <w:rsid w:val="00F92C9F"/>
    <w:rsid w:val="00F97A65"/>
    <w:rsid w:val="00FC59AC"/>
    <w:rsid w:val="00FD093F"/>
    <w:rsid w:val="00FD7F82"/>
    <w:rsid w:val="00FE4E72"/>
    <w:rsid w:val="00FE5E67"/>
    <w:rsid w:val="00FF4E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344EE5-9752-4E7E-B037-79275869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655B"/>
    <w:rPr>
      <w:sz w:val="24"/>
      <w:szCs w:val="24"/>
    </w:rPr>
  </w:style>
  <w:style w:type="paragraph" w:styleId="Titolo1">
    <w:name w:val="heading 1"/>
    <w:basedOn w:val="Normale"/>
    <w:next w:val="Normale"/>
    <w:qFormat/>
    <w:rsid w:val="00B5655B"/>
    <w:pPr>
      <w:keepNext/>
      <w:jc w:val="center"/>
      <w:outlineLvl w:val="0"/>
    </w:pPr>
    <w:rPr>
      <w:i/>
      <w:iCs/>
      <w:szCs w:val="20"/>
    </w:rPr>
  </w:style>
  <w:style w:type="paragraph" w:styleId="Titolo2">
    <w:name w:val="heading 2"/>
    <w:basedOn w:val="Normale"/>
    <w:next w:val="Normale"/>
    <w:qFormat/>
    <w:rsid w:val="00B5655B"/>
    <w:pPr>
      <w:keepNext/>
      <w:jc w:val="center"/>
      <w:outlineLvl w:val="1"/>
    </w:pPr>
    <w:rPr>
      <w:b/>
      <w:snapToGrid w:val="0"/>
      <w:sz w:val="60"/>
      <w:szCs w:val="20"/>
    </w:rPr>
  </w:style>
  <w:style w:type="paragraph" w:styleId="Titolo5">
    <w:name w:val="heading 5"/>
    <w:basedOn w:val="Normale"/>
    <w:next w:val="Normale"/>
    <w:link w:val="Titolo5Carattere"/>
    <w:semiHidden/>
    <w:unhideWhenUsed/>
    <w:qFormat/>
    <w:rsid w:val="00045066"/>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E7888"/>
    <w:rPr>
      <w:rFonts w:ascii="Tahoma" w:hAnsi="Tahoma" w:cs="Tahoma"/>
      <w:sz w:val="16"/>
      <w:szCs w:val="16"/>
    </w:rPr>
  </w:style>
  <w:style w:type="character" w:styleId="Collegamentoipertestuale">
    <w:name w:val="Hyperlink"/>
    <w:uiPriority w:val="99"/>
    <w:unhideWhenUsed/>
    <w:rsid w:val="00B15978"/>
    <w:rPr>
      <w:color w:val="0B0B4A"/>
      <w:u w:val="single"/>
    </w:rPr>
  </w:style>
  <w:style w:type="paragraph" w:styleId="Testonotaapidipagina">
    <w:name w:val="footnote text"/>
    <w:basedOn w:val="Normale"/>
    <w:link w:val="TestonotaapidipaginaCarattere"/>
    <w:uiPriority w:val="99"/>
    <w:unhideWhenUsed/>
    <w:rsid w:val="000A5B4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0A5B4E"/>
    <w:rPr>
      <w:rFonts w:ascii="Calibri" w:eastAsia="Calibri" w:hAnsi="Calibri"/>
      <w:lang w:eastAsia="en-US"/>
    </w:rPr>
  </w:style>
  <w:style w:type="character" w:styleId="Rimandonotaapidipagina">
    <w:name w:val="footnote reference"/>
    <w:uiPriority w:val="99"/>
    <w:unhideWhenUsed/>
    <w:rsid w:val="000A5B4E"/>
    <w:rPr>
      <w:vertAlign w:val="superscript"/>
    </w:rPr>
  </w:style>
  <w:style w:type="paragraph" w:styleId="Paragrafoelenco">
    <w:name w:val="List Paragraph"/>
    <w:basedOn w:val="Normale"/>
    <w:uiPriority w:val="34"/>
    <w:qFormat/>
    <w:rsid w:val="00A6772A"/>
    <w:pPr>
      <w:ind w:left="720"/>
      <w:contextualSpacing/>
    </w:pPr>
  </w:style>
  <w:style w:type="character" w:customStyle="1" w:styleId="Titolo5Carattere">
    <w:name w:val="Titolo 5 Carattere"/>
    <w:basedOn w:val="Carpredefinitoparagrafo"/>
    <w:link w:val="Titolo5"/>
    <w:uiPriority w:val="9"/>
    <w:rsid w:val="0004506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3910">
      <w:bodyDiv w:val="1"/>
      <w:marLeft w:val="0"/>
      <w:marRight w:val="0"/>
      <w:marTop w:val="0"/>
      <w:marBottom w:val="0"/>
      <w:divBdr>
        <w:top w:val="none" w:sz="0" w:space="0" w:color="auto"/>
        <w:left w:val="none" w:sz="0" w:space="0" w:color="auto"/>
        <w:bottom w:val="none" w:sz="0" w:space="0" w:color="auto"/>
        <w:right w:val="none" w:sz="0" w:space="0" w:color="auto"/>
      </w:divBdr>
    </w:div>
    <w:div w:id="267392718">
      <w:bodyDiv w:val="1"/>
      <w:marLeft w:val="0"/>
      <w:marRight w:val="0"/>
      <w:marTop w:val="0"/>
      <w:marBottom w:val="0"/>
      <w:divBdr>
        <w:top w:val="none" w:sz="0" w:space="0" w:color="auto"/>
        <w:left w:val="none" w:sz="0" w:space="0" w:color="auto"/>
        <w:bottom w:val="none" w:sz="0" w:space="0" w:color="auto"/>
        <w:right w:val="none" w:sz="0" w:space="0" w:color="auto"/>
      </w:divBdr>
    </w:div>
    <w:div w:id="971788243">
      <w:bodyDiv w:val="1"/>
      <w:marLeft w:val="0"/>
      <w:marRight w:val="0"/>
      <w:marTop w:val="0"/>
      <w:marBottom w:val="0"/>
      <w:divBdr>
        <w:top w:val="none" w:sz="0" w:space="0" w:color="auto"/>
        <w:left w:val="none" w:sz="0" w:space="0" w:color="auto"/>
        <w:bottom w:val="none" w:sz="0" w:space="0" w:color="auto"/>
        <w:right w:val="none" w:sz="0" w:space="0" w:color="auto"/>
      </w:divBdr>
      <w:divsChild>
        <w:div w:id="1902054296">
          <w:marLeft w:val="0"/>
          <w:marRight w:val="0"/>
          <w:marTop w:val="0"/>
          <w:marBottom w:val="0"/>
          <w:divBdr>
            <w:top w:val="none" w:sz="0" w:space="0" w:color="auto"/>
            <w:left w:val="none" w:sz="0" w:space="0" w:color="auto"/>
            <w:bottom w:val="none" w:sz="0" w:space="0" w:color="auto"/>
            <w:right w:val="none" w:sz="0" w:space="0" w:color="auto"/>
          </w:divBdr>
        </w:div>
        <w:div w:id="1187447560">
          <w:marLeft w:val="0"/>
          <w:marRight w:val="0"/>
          <w:marTop w:val="0"/>
          <w:marBottom w:val="0"/>
          <w:divBdr>
            <w:top w:val="none" w:sz="0" w:space="0" w:color="auto"/>
            <w:left w:val="none" w:sz="0" w:space="0" w:color="auto"/>
            <w:bottom w:val="none" w:sz="0" w:space="0" w:color="auto"/>
            <w:right w:val="none" w:sz="0" w:space="0" w:color="auto"/>
          </w:divBdr>
        </w:div>
        <w:div w:id="106792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A2BD8-3D30-462C-AEFE-1E2B0A8B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Ministero della Giustizia</dc:creator>
  <cp:lastModifiedBy>Alessandro Paone</cp:lastModifiedBy>
  <cp:revision>3</cp:revision>
  <cp:lastPrinted>2020-11-03T12:34:00Z</cp:lastPrinted>
  <dcterms:created xsi:type="dcterms:W3CDTF">2021-04-19T08:16:00Z</dcterms:created>
  <dcterms:modified xsi:type="dcterms:W3CDTF">2021-04-19T11:08:00Z</dcterms:modified>
</cp:coreProperties>
</file>